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84EA" w14:textId="77777777" w:rsidR="00F07599" w:rsidRDefault="00F07599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4111"/>
      </w:tblGrid>
      <w:tr w:rsidR="00270738" w:rsidRPr="00666BB0" w14:paraId="124C3A16" w14:textId="77777777" w:rsidTr="00666BB0">
        <w:trPr>
          <w:trHeight w:val="428"/>
        </w:trPr>
        <w:tc>
          <w:tcPr>
            <w:tcW w:w="6516" w:type="dxa"/>
            <w:shd w:val="clear" w:color="auto" w:fill="auto"/>
            <w:vAlign w:val="center"/>
          </w:tcPr>
          <w:p w14:paraId="0BBAC1E6" w14:textId="2764817F" w:rsidR="00270738" w:rsidRPr="00666BB0" w:rsidRDefault="00270738" w:rsidP="00262E3E">
            <w:pPr>
              <w:rPr>
                <w:rFonts w:ascii="Arial" w:hAnsi="Arial" w:cs="Arial"/>
                <w:sz w:val="22"/>
                <w:szCs w:val="22"/>
              </w:rPr>
            </w:pPr>
            <w:r w:rsidRPr="00666BB0">
              <w:rPr>
                <w:rFonts w:ascii="Arial" w:hAnsi="Arial" w:cs="Arial"/>
                <w:sz w:val="22"/>
                <w:szCs w:val="22"/>
              </w:rPr>
              <w:t>Child</w:t>
            </w:r>
            <w:r w:rsidR="0089235A">
              <w:rPr>
                <w:rFonts w:ascii="Arial" w:hAnsi="Arial" w:cs="Arial"/>
                <w:sz w:val="22"/>
                <w:szCs w:val="22"/>
              </w:rPr>
              <w:t xml:space="preserve">’s/Youth’s </w:t>
            </w:r>
            <w:r w:rsidRPr="00666BB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AD52BF" w14:textId="36D6AF1E" w:rsidR="00270738" w:rsidRPr="00666BB0" w:rsidRDefault="00270738" w:rsidP="00262E3E">
            <w:pPr>
              <w:rPr>
                <w:rFonts w:ascii="Arial" w:hAnsi="Arial" w:cs="Arial"/>
                <w:sz w:val="22"/>
                <w:szCs w:val="22"/>
              </w:rPr>
            </w:pPr>
            <w:r w:rsidRPr="00666BB0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666BB0" w:rsidRPr="00666BB0" w14:paraId="7EF8A6B2" w14:textId="77777777" w:rsidTr="00270738">
        <w:trPr>
          <w:trHeight w:val="40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16B9" w14:textId="6AB9BB89" w:rsidR="00666BB0" w:rsidRPr="00666BB0" w:rsidRDefault="00666BB0" w:rsidP="00262E3E">
            <w:pPr>
              <w:rPr>
                <w:rFonts w:ascii="Arial" w:hAnsi="Arial" w:cs="Arial"/>
                <w:sz w:val="22"/>
                <w:szCs w:val="22"/>
              </w:rPr>
            </w:pPr>
            <w:r w:rsidRPr="00666BB0">
              <w:rPr>
                <w:rFonts w:ascii="Arial" w:hAnsi="Arial" w:cs="Arial"/>
                <w:sz w:val="22"/>
                <w:szCs w:val="22"/>
              </w:rPr>
              <w:t>Name of CAS Agency:</w:t>
            </w:r>
          </w:p>
        </w:tc>
      </w:tr>
      <w:tr w:rsidR="00270738" w:rsidRPr="00666BB0" w14:paraId="2CDB66FF" w14:textId="77777777" w:rsidTr="00270738">
        <w:trPr>
          <w:trHeight w:val="40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BC4" w14:textId="725C5A32" w:rsidR="00270738" w:rsidRPr="00666BB0" w:rsidRDefault="00270738" w:rsidP="00262E3E">
            <w:pPr>
              <w:rPr>
                <w:rFonts w:ascii="Arial" w:hAnsi="Arial" w:cs="Arial"/>
                <w:sz w:val="22"/>
                <w:szCs w:val="22"/>
              </w:rPr>
            </w:pPr>
            <w:r w:rsidRPr="00666BB0">
              <w:rPr>
                <w:rFonts w:ascii="Arial" w:hAnsi="Arial" w:cs="Arial"/>
                <w:sz w:val="22"/>
                <w:szCs w:val="22"/>
              </w:rPr>
              <w:t>Foster Parent</w:t>
            </w:r>
            <w:r w:rsidR="00666BB0" w:rsidRPr="00666BB0">
              <w:rPr>
                <w:rFonts w:ascii="Arial" w:hAnsi="Arial" w:cs="Arial"/>
                <w:sz w:val="22"/>
                <w:szCs w:val="22"/>
              </w:rPr>
              <w:t>s</w:t>
            </w:r>
            <w:r w:rsidRPr="00666BB0">
              <w:rPr>
                <w:rFonts w:ascii="Arial" w:hAnsi="Arial" w:cs="Arial"/>
                <w:sz w:val="22"/>
                <w:szCs w:val="22"/>
              </w:rPr>
              <w:t xml:space="preserve"> Name(s):</w:t>
            </w:r>
          </w:p>
        </w:tc>
      </w:tr>
      <w:tr w:rsidR="00270738" w:rsidRPr="00666BB0" w14:paraId="38A3C595" w14:textId="77777777" w:rsidTr="009B5DF7">
        <w:trPr>
          <w:trHeight w:val="428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FC52" w14:textId="00C7E78D" w:rsidR="00270738" w:rsidRPr="00666BB0" w:rsidRDefault="00270738" w:rsidP="00262E3E">
            <w:pPr>
              <w:rPr>
                <w:rFonts w:ascii="Arial" w:hAnsi="Arial" w:cs="Arial"/>
                <w:sz w:val="22"/>
                <w:szCs w:val="22"/>
              </w:rPr>
            </w:pPr>
            <w:r w:rsidRPr="00666BB0">
              <w:rPr>
                <w:rFonts w:ascii="Arial" w:hAnsi="Arial" w:cs="Arial"/>
                <w:sz w:val="22"/>
                <w:szCs w:val="22"/>
              </w:rPr>
              <w:t>Foster Parent</w:t>
            </w:r>
            <w:r w:rsidR="00666BB0" w:rsidRPr="00666BB0">
              <w:rPr>
                <w:rFonts w:ascii="Arial" w:hAnsi="Arial" w:cs="Arial"/>
                <w:sz w:val="22"/>
                <w:szCs w:val="22"/>
              </w:rPr>
              <w:t>s</w:t>
            </w:r>
            <w:r w:rsidRPr="00666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BB0" w:rsidRPr="00666BB0">
              <w:rPr>
                <w:rFonts w:ascii="Arial" w:hAnsi="Arial" w:cs="Arial"/>
                <w:sz w:val="22"/>
                <w:szCs w:val="22"/>
              </w:rPr>
              <w:t>E</w:t>
            </w:r>
            <w:r w:rsidRPr="00666BB0">
              <w:rPr>
                <w:rFonts w:ascii="Arial" w:hAnsi="Arial" w:cs="Arial"/>
                <w:sz w:val="22"/>
                <w:szCs w:val="22"/>
              </w:rPr>
              <w:t xml:space="preserve">mail </w:t>
            </w:r>
            <w:r w:rsidR="00666BB0" w:rsidRPr="00666BB0">
              <w:rPr>
                <w:rFonts w:ascii="Arial" w:hAnsi="Arial" w:cs="Arial"/>
                <w:sz w:val="22"/>
                <w:szCs w:val="22"/>
              </w:rPr>
              <w:t>A</w:t>
            </w:r>
            <w:r w:rsidRPr="00666BB0">
              <w:rPr>
                <w:rFonts w:ascii="Arial" w:hAnsi="Arial" w:cs="Arial"/>
                <w:sz w:val="22"/>
                <w:szCs w:val="22"/>
              </w:rPr>
              <w:t>ddress:</w:t>
            </w:r>
          </w:p>
        </w:tc>
      </w:tr>
    </w:tbl>
    <w:p w14:paraId="12527E47" w14:textId="77777777" w:rsidR="00666BB0" w:rsidRPr="00666BB0" w:rsidRDefault="00666BB0">
      <w:pPr>
        <w:rPr>
          <w:sz w:val="22"/>
          <w:szCs w:val="22"/>
        </w:rPr>
      </w:pPr>
    </w:p>
    <w:p w14:paraId="4EF4EE32" w14:textId="7DED5F71" w:rsidR="00270738" w:rsidRPr="00666BB0" w:rsidRDefault="00270738">
      <w:pPr>
        <w:rPr>
          <w:rFonts w:ascii="Arial" w:hAnsi="Arial" w:cs="Arial"/>
          <w:sz w:val="22"/>
          <w:szCs w:val="22"/>
        </w:rPr>
      </w:pPr>
      <w:r w:rsidRPr="00666BB0">
        <w:rPr>
          <w:rFonts w:ascii="Arial" w:hAnsi="Arial" w:cs="Arial"/>
          <w:sz w:val="22"/>
          <w:szCs w:val="22"/>
        </w:rPr>
        <w:t>If over 16 years old:</w:t>
      </w:r>
    </w:p>
    <w:tbl>
      <w:tblPr>
        <w:tblStyle w:val="TableGrid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775"/>
      </w:tblGrid>
      <w:tr w:rsidR="00D77154" w:rsidRPr="00666BB0" w14:paraId="5672660F" w14:textId="77777777" w:rsidTr="00666BB0">
        <w:tc>
          <w:tcPr>
            <w:tcW w:w="851" w:type="dxa"/>
          </w:tcPr>
          <w:p w14:paraId="64096F34" w14:textId="275BC74E" w:rsidR="00D77154" w:rsidRPr="00666BB0" w:rsidRDefault="00C537B6" w:rsidP="00D77154">
            <w:pPr>
              <w:ind w:left="-108" w:right="-105"/>
              <w:rPr>
                <w:rFonts w:ascii="Arial" w:hAnsi="Arial" w:cs="Arial"/>
                <w:b/>
                <w:sz w:val="22"/>
                <w:szCs w:val="22"/>
              </w:rPr>
            </w:pPr>
            <w:r w:rsidRPr="00666BB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77154" w:rsidRPr="00666BB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9775" w:type="dxa"/>
            <w:vAlign w:val="bottom"/>
          </w:tcPr>
          <w:p w14:paraId="58FBFEFF" w14:textId="167379AD" w:rsidR="00666BB0" w:rsidRPr="00666BB0" w:rsidRDefault="00666BB0" w:rsidP="00DC207C">
            <w:pPr>
              <w:ind w:right="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154" w:rsidRPr="00666BB0" w14:paraId="0687663D" w14:textId="77777777" w:rsidTr="00666BB0">
        <w:tc>
          <w:tcPr>
            <w:tcW w:w="851" w:type="dxa"/>
          </w:tcPr>
          <w:p w14:paraId="7DC23D17" w14:textId="77777777" w:rsidR="00D77154" w:rsidRPr="00666BB0" w:rsidRDefault="00D77154" w:rsidP="00D77154">
            <w:pPr>
              <w:ind w:left="-108" w:righ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5" w:type="dxa"/>
          </w:tcPr>
          <w:p w14:paraId="1FAE8DEC" w14:textId="21E8F6CF" w:rsidR="003017B4" w:rsidRPr="00666BB0" w:rsidRDefault="003017B4" w:rsidP="00D77154">
            <w:pPr>
              <w:ind w:right="42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666BB0">
              <w:rPr>
                <w:rFonts w:ascii="Arial" w:hAnsi="Arial" w:cs="Arial"/>
                <w:i/>
                <w:sz w:val="22"/>
                <w:szCs w:val="22"/>
              </w:rPr>
              <w:t xml:space="preserve">( </w:t>
            </w:r>
            <w:r w:rsidR="00A05AC8">
              <w:rPr>
                <w:rFonts w:ascii="Arial" w:hAnsi="Arial" w:cs="Arial"/>
                <w:i/>
                <w:sz w:val="22"/>
                <w:szCs w:val="22"/>
              </w:rPr>
              <w:t>Youth’s</w:t>
            </w:r>
            <w:proofErr w:type="gramEnd"/>
            <w:r w:rsidRPr="00666BB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66BB0" w:rsidRPr="00666BB0">
              <w:rPr>
                <w:rFonts w:ascii="Arial" w:hAnsi="Arial" w:cs="Arial"/>
                <w:i/>
                <w:sz w:val="22"/>
                <w:szCs w:val="22"/>
              </w:rPr>
              <w:t>Full N</w:t>
            </w:r>
            <w:r w:rsidRPr="00666BB0">
              <w:rPr>
                <w:rFonts w:ascii="Arial" w:hAnsi="Arial" w:cs="Arial"/>
                <w:i/>
                <w:sz w:val="22"/>
                <w:szCs w:val="22"/>
              </w:rPr>
              <w:t>ame )</w:t>
            </w:r>
            <w:r w:rsidR="00094A7C" w:rsidRPr="00666BB0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</w:t>
            </w:r>
          </w:p>
        </w:tc>
      </w:tr>
    </w:tbl>
    <w:p w14:paraId="6A08D423" w14:textId="77777777" w:rsidR="00666BB0" w:rsidRPr="00666BB0" w:rsidRDefault="00666BB0" w:rsidP="00592074">
      <w:pPr>
        <w:ind w:right="42"/>
        <w:rPr>
          <w:rFonts w:ascii="Arial" w:hAnsi="Arial" w:cs="Arial"/>
          <w:sz w:val="22"/>
          <w:szCs w:val="22"/>
        </w:rPr>
      </w:pPr>
    </w:p>
    <w:p w14:paraId="01286579" w14:textId="46F66FE6" w:rsidR="00270738" w:rsidRPr="00666BB0" w:rsidRDefault="00270738" w:rsidP="00270738">
      <w:pPr>
        <w:rPr>
          <w:rFonts w:ascii="Arial" w:hAnsi="Arial" w:cs="Arial"/>
          <w:sz w:val="22"/>
          <w:szCs w:val="22"/>
        </w:rPr>
      </w:pPr>
      <w:r w:rsidRPr="00666BB0">
        <w:rPr>
          <w:rFonts w:ascii="Arial" w:hAnsi="Arial" w:cs="Arial"/>
          <w:sz w:val="22"/>
          <w:szCs w:val="22"/>
        </w:rPr>
        <w:t>If under 16 years old:</w:t>
      </w:r>
    </w:p>
    <w:tbl>
      <w:tblPr>
        <w:tblStyle w:val="TableGrid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775"/>
      </w:tblGrid>
      <w:tr w:rsidR="00666BB0" w:rsidRPr="00666BB0" w14:paraId="24E7AB2A" w14:textId="77777777" w:rsidTr="00262E3E">
        <w:tc>
          <w:tcPr>
            <w:tcW w:w="851" w:type="dxa"/>
          </w:tcPr>
          <w:p w14:paraId="6179F677" w14:textId="77777777" w:rsidR="00666BB0" w:rsidRPr="00666BB0" w:rsidRDefault="00666BB0" w:rsidP="00262E3E">
            <w:pPr>
              <w:ind w:left="-108" w:right="-105"/>
              <w:rPr>
                <w:rFonts w:ascii="Arial" w:hAnsi="Arial" w:cs="Arial"/>
                <w:b/>
                <w:sz w:val="22"/>
                <w:szCs w:val="22"/>
              </w:rPr>
            </w:pPr>
            <w:r w:rsidRPr="00666BB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66BB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9775" w:type="dxa"/>
            <w:vAlign w:val="bottom"/>
          </w:tcPr>
          <w:p w14:paraId="1EF12A12" w14:textId="77777777" w:rsidR="00666BB0" w:rsidRPr="00666BB0" w:rsidRDefault="00666BB0" w:rsidP="00262E3E">
            <w:pPr>
              <w:ind w:right="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BB0" w:rsidRPr="00666BB0" w14:paraId="3FC7CC32" w14:textId="77777777" w:rsidTr="00262E3E">
        <w:tc>
          <w:tcPr>
            <w:tcW w:w="851" w:type="dxa"/>
          </w:tcPr>
          <w:p w14:paraId="669E2DB1" w14:textId="77777777" w:rsidR="00666BB0" w:rsidRPr="00666BB0" w:rsidRDefault="00666BB0" w:rsidP="00262E3E">
            <w:pPr>
              <w:ind w:left="-108" w:righ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5" w:type="dxa"/>
          </w:tcPr>
          <w:p w14:paraId="5D4BCB6C" w14:textId="5F964B1C" w:rsidR="00666BB0" w:rsidRPr="00666BB0" w:rsidRDefault="00666BB0" w:rsidP="00262E3E">
            <w:pPr>
              <w:ind w:right="42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666BB0">
              <w:rPr>
                <w:rFonts w:ascii="Arial" w:hAnsi="Arial" w:cs="Arial"/>
                <w:i/>
                <w:sz w:val="22"/>
                <w:szCs w:val="22"/>
              </w:rPr>
              <w:t>( Child's</w:t>
            </w:r>
            <w:proofErr w:type="gramEnd"/>
            <w:r w:rsidRPr="00666BB0">
              <w:rPr>
                <w:rFonts w:ascii="Arial" w:hAnsi="Arial" w:cs="Arial"/>
                <w:i/>
                <w:sz w:val="22"/>
                <w:szCs w:val="22"/>
              </w:rPr>
              <w:t xml:space="preserve"> Worker – </w:t>
            </w:r>
            <w:r w:rsidR="00A05AC8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666BB0">
              <w:rPr>
                <w:rFonts w:ascii="Arial" w:hAnsi="Arial" w:cs="Arial"/>
                <w:i/>
                <w:sz w:val="22"/>
                <w:szCs w:val="22"/>
              </w:rPr>
              <w:t xml:space="preserve">ull Name )                             </w:t>
            </w:r>
          </w:p>
        </w:tc>
      </w:tr>
    </w:tbl>
    <w:p w14:paraId="6EF16B75" w14:textId="77777777" w:rsidR="00666BB0" w:rsidRPr="00666BB0" w:rsidRDefault="00666BB0" w:rsidP="00666BB0">
      <w:pPr>
        <w:ind w:right="42"/>
        <w:rPr>
          <w:rFonts w:ascii="Arial" w:hAnsi="Arial" w:cs="Arial"/>
          <w:sz w:val="22"/>
          <w:szCs w:val="22"/>
        </w:rPr>
      </w:pPr>
    </w:p>
    <w:p w14:paraId="1E99AE8E" w14:textId="77777777" w:rsidR="00270738" w:rsidRPr="00666BB0" w:rsidRDefault="00270738" w:rsidP="00592074">
      <w:pPr>
        <w:ind w:right="42"/>
        <w:rPr>
          <w:rFonts w:ascii="Arial" w:hAnsi="Arial" w:cs="Arial"/>
          <w:sz w:val="22"/>
          <w:szCs w:val="22"/>
        </w:rPr>
      </w:pPr>
    </w:p>
    <w:p w14:paraId="4A08749F" w14:textId="365AA553" w:rsidR="002E38F7" w:rsidRPr="00666BB0" w:rsidRDefault="00963A91" w:rsidP="00592074">
      <w:pPr>
        <w:ind w:right="42"/>
        <w:rPr>
          <w:rFonts w:ascii="Arial" w:hAnsi="Arial" w:cs="Arial"/>
          <w:b/>
          <w:sz w:val="22"/>
          <w:szCs w:val="22"/>
        </w:rPr>
      </w:pPr>
      <w:r w:rsidRPr="00666BB0">
        <w:rPr>
          <w:rFonts w:ascii="Arial" w:hAnsi="Arial" w:cs="Arial"/>
          <w:b/>
          <w:sz w:val="22"/>
          <w:szCs w:val="22"/>
        </w:rPr>
        <w:t>Give permission for</w:t>
      </w:r>
      <w:r w:rsidR="00666BB0" w:rsidRPr="00666BB0">
        <w:rPr>
          <w:rFonts w:ascii="Arial" w:hAnsi="Arial" w:cs="Arial"/>
          <w:b/>
          <w:sz w:val="22"/>
          <w:szCs w:val="22"/>
        </w:rPr>
        <w:t>:</w:t>
      </w:r>
      <w:r w:rsidR="00C537B6" w:rsidRPr="00666BB0">
        <w:rPr>
          <w:rFonts w:ascii="Arial" w:hAnsi="Arial" w:cs="Arial"/>
          <w:b/>
          <w:sz w:val="22"/>
          <w:szCs w:val="22"/>
        </w:rPr>
        <w:t xml:space="preserve">   </w:t>
      </w:r>
    </w:p>
    <w:p w14:paraId="5F006261" w14:textId="3E47E8BD" w:rsidR="00C537B6" w:rsidRPr="00666BB0" w:rsidRDefault="00DD0C11" w:rsidP="00592074">
      <w:pPr>
        <w:ind w:right="42"/>
        <w:rPr>
          <w:rFonts w:ascii="Arial" w:hAnsi="Arial" w:cs="Arial"/>
          <w:bCs/>
          <w:sz w:val="22"/>
          <w:szCs w:val="22"/>
        </w:rPr>
      </w:pPr>
      <w:r w:rsidRPr="00666BB0">
        <w:rPr>
          <w:rFonts w:ascii="Arial" w:hAnsi="Arial" w:cs="Arial"/>
          <w:bCs/>
          <w:sz w:val="22"/>
          <w:szCs w:val="22"/>
        </w:rPr>
        <w:t>Dr. Cor</w:t>
      </w:r>
      <w:r w:rsidR="00C67174">
        <w:rPr>
          <w:rFonts w:ascii="Arial" w:hAnsi="Arial" w:cs="Arial"/>
          <w:bCs/>
          <w:sz w:val="22"/>
          <w:szCs w:val="22"/>
        </w:rPr>
        <w:t>y</w:t>
      </w:r>
      <w:r w:rsidRPr="00666BB0">
        <w:rPr>
          <w:rFonts w:ascii="Arial" w:hAnsi="Arial" w:cs="Arial"/>
          <w:bCs/>
          <w:sz w:val="22"/>
          <w:szCs w:val="22"/>
        </w:rPr>
        <w:t xml:space="preserve"> Saunders</w:t>
      </w:r>
    </w:p>
    <w:p w14:paraId="045E42CB" w14:textId="60C00A80" w:rsidR="00C537B6" w:rsidRDefault="00C537B6" w:rsidP="00C537B6">
      <w:pPr>
        <w:ind w:right="42"/>
        <w:rPr>
          <w:rFonts w:ascii="Arial" w:hAnsi="Arial" w:cs="Arial"/>
          <w:b/>
          <w:sz w:val="22"/>
          <w:szCs w:val="22"/>
        </w:rPr>
      </w:pPr>
    </w:p>
    <w:p w14:paraId="425FBC52" w14:textId="77777777" w:rsidR="00A05AC8" w:rsidRPr="00666BB0" w:rsidRDefault="00A05AC8" w:rsidP="00C537B6">
      <w:pPr>
        <w:ind w:right="42"/>
        <w:rPr>
          <w:rFonts w:ascii="Arial" w:hAnsi="Arial" w:cs="Arial"/>
          <w:b/>
          <w:sz w:val="22"/>
          <w:szCs w:val="22"/>
        </w:rPr>
      </w:pPr>
    </w:p>
    <w:p w14:paraId="7FF93A99" w14:textId="303DD95C" w:rsidR="00094A7C" w:rsidRDefault="00666BB0" w:rsidP="00A05AC8">
      <w:pPr>
        <w:pStyle w:val="BodyText"/>
        <w:ind w:left="432" w:hanging="432"/>
        <w:rPr>
          <w:rFonts w:ascii="Arial" w:hAnsi="Arial" w:cs="Arial"/>
          <w:b w:val="0"/>
          <w:szCs w:val="22"/>
        </w:rPr>
      </w:pPr>
      <w:r w:rsidRPr="00666BB0">
        <w:rPr>
          <w:rFonts w:ascii="Arial" w:hAnsi="Arial" w:cs="Arial"/>
          <w:szCs w:val="22"/>
        </w:rPr>
        <w:t>T</w:t>
      </w:r>
      <w:r w:rsidR="00C537B6" w:rsidRPr="00666BB0">
        <w:rPr>
          <w:rFonts w:ascii="Arial" w:hAnsi="Arial" w:cs="Arial"/>
          <w:szCs w:val="22"/>
        </w:rPr>
        <w:t xml:space="preserve">o </w:t>
      </w:r>
      <w:r w:rsidR="00094A7C" w:rsidRPr="00666BB0">
        <w:rPr>
          <w:rFonts w:ascii="Arial" w:hAnsi="Arial" w:cs="Arial"/>
          <w:szCs w:val="22"/>
        </w:rPr>
        <w:t>Collect Information</w:t>
      </w:r>
      <w:r w:rsidR="00DC207C" w:rsidRPr="00666BB0">
        <w:rPr>
          <w:rFonts w:ascii="Arial" w:hAnsi="Arial" w:cs="Arial"/>
          <w:szCs w:val="22"/>
        </w:rPr>
        <w:t xml:space="preserve"> </w:t>
      </w:r>
      <w:proofErr w:type="gramStart"/>
      <w:r w:rsidR="00094A7C" w:rsidRPr="00666BB0">
        <w:rPr>
          <w:rFonts w:ascii="Arial" w:hAnsi="Arial" w:cs="Arial"/>
          <w:szCs w:val="22"/>
        </w:rPr>
        <w:t>in regard to</w:t>
      </w:r>
      <w:proofErr w:type="gramEnd"/>
      <w:r w:rsidR="00094A7C" w:rsidRPr="00666BB0">
        <w:rPr>
          <w:rFonts w:ascii="Arial" w:hAnsi="Arial" w:cs="Arial"/>
          <w:b w:val="0"/>
          <w:szCs w:val="22"/>
        </w:rPr>
        <w:t>:</w:t>
      </w:r>
    </w:p>
    <w:p w14:paraId="675717EC" w14:textId="77777777" w:rsidR="00094A7C" w:rsidRPr="00666BB0" w:rsidRDefault="00094A7C" w:rsidP="00094A7C">
      <w:pPr>
        <w:rPr>
          <w:rFonts w:ascii="Arial" w:hAnsi="Arial" w:cs="Arial"/>
          <w:sz w:val="22"/>
          <w:szCs w:val="22"/>
          <w:lang w:val="en-CA"/>
        </w:rPr>
      </w:pPr>
      <w:r w:rsidRPr="00666BB0">
        <w:rPr>
          <w:rFonts w:ascii="Arial" w:hAnsi="Arial" w:cs="Arial"/>
          <w:sz w:val="22"/>
          <w:szCs w:val="22"/>
          <w:lang w:val="en-CA"/>
        </w:rPr>
        <w:t>BASC 3 and Brown Scales</w:t>
      </w:r>
    </w:p>
    <w:p w14:paraId="133D93B4" w14:textId="77777777" w:rsidR="00094A7C" w:rsidRPr="00666BB0" w:rsidRDefault="00094A7C" w:rsidP="00094A7C">
      <w:pPr>
        <w:ind w:left="1080"/>
        <w:rPr>
          <w:rFonts w:ascii="Arial" w:hAnsi="Arial" w:cs="Arial"/>
          <w:sz w:val="22"/>
          <w:szCs w:val="22"/>
          <w:lang w:val="en-CA"/>
        </w:rPr>
      </w:pPr>
    </w:p>
    <w:p w14:paraId="1AA2D5F4" w14:textId="588C7614" w:rsidR="00094A7C" w:rsidRPr="00666BB0" w:rsidRDefault="00094A7C" w:rsidP="00094A7C">
      <w:pPr>
        <w:rPr>
          <w:rFonts w:ascii="Arial" w:hAnsi="Arial" w:cs="Arial"/>
          <w:b/>
          <w:bCs/>
          <w:sz w:val="22"/>
          <w:szCs w:val="22"/>
        </w:rPr>
      </w:pPr>
      <w:r w:rsidRPr="00666BB0">
        <w:rPr>
          <w:rFonts w:ascii="Courier New" w:hAnsi="Courier New" w:cs="Courier New"/>
          <w:sz w:val="22"/>
          <w:szCs w:val="22"/>
        </w:rPr>
        <w:t>﻿</w:t>
      </w:r>
      <w:r w:rsidRPr="00666BB0">
        <w:rPr>
          <w:rFonts w:ascii="Arial" w:hAnsi="Arial" w:cs="Arial"/>
          <w:bCs/>
          <w:sz w:val="22"/>
          <w:szCs w:val="22"/>
        </w:rPr>
        <w:t>The BASC–3 system includes the following components:</w:t>
      </w:r>
    </w:p>
    <w:p w14:paraId="73F69FF2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Behavioral and Emotional Screening System (BESS)</w:t>
      </w:r>
    </w:p>
    <w:p w14:paraId="5762EA7E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Teacher Rating Scales (TRS)</w:t>
      </w:r>
    </w:p>
    <w:p w14:paraId="08CACD0D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Parent Rating Scales (PRS)</w:t>
      </w:r>
    </w:p>
    <w:p w14:paraId="67292710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Self-Report of Personality (SRP)</w:t>
      </w:r>
    </w:p>
    <w:p w14:paraId="30CC8B9F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Structured Developmental History (SDH)</w:t>
      </w:r>
    </w:p>
    <w:p w14:paraId="32152170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Student Observation System (SOS)</w:t>
      </w:r>
    </w:p>
    <w:p w14:paraId="6FB094E2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BASC–3 Behavior Intervention Guide</w:t>
      </w:r>
    </w:p>
    <w:p w14:paraId="644CA214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Behavioral and Emotional Skill Building Guide – part of the BASC–3</w:t>
      </w:r>
      <w:r w:rsidRPr="00666BB0">
        <w:rPr>
          <w:rFonts w:ascii="Arial" w:hAnsi="Arial" w:cs="Arial"/>
          <w:bCs/>
        </w:rPr>
        <w:br/>
        <w:t>family of products</w:t>
      </w:r>
    </w:p>
    <w:p w14:paraId="6AF2BC65" w14:textId="77777777" w:rsidR="00094A7C" w:rsidRPr="00666BB0" w:rsidRDefault="00094A7C" w:rsidP="00094A7C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Flex Monitor</w:t>
      </w:r>
    </w:p>
    <w:p w14:paraId="5BA16F4C" w14:textId="77777777" w:rsidR="00F07599" w:rsidRDefault="00094A7C" w:rsidP="00A05AC8">
      <w:pPr>
        <w:pStyle w:val="ListParagraph"/>
        <w:numPr>
          <w:ilvl w:val="0"/>
          <w:numId w:val="6"/>
        </w:numPr>
        <w:spacing w:after="200"/>
        <w:contextualSpacing/>
        <w:rPr>
          <w:rFonts w:ascii="Arial" w:hAnsi="Arial" w:cs="Arial"/>
          <w:bCs/>
        </w:rPr>
      </w:pPr>
      <w:r w:rsidRPr="00666BB0">
        <w:rPr>
          <w:rFonts w:ascii="Arial" w:hAnsi="Arial" w:cs="Arial"/>
          <w:bCs/>
        </w:rPr>
        <w:t>Parenting Relationship Questionnaire (PRQTM)</w:t>
      </w:r>
    </w:p>
    <w:p w14:paraId="0FDA4932" w14:textId="6EDE2795" w:rsidR="00094A7C" w:rsidRPr="00F07599" w:rsidRDefault="00094A7C" w:rsidP="00F07599">
      <w:pPr>
        <w:spacing w:after="200"/>
        <w:contextualSpacing/>
        <w:rPr>
          <w:rFonts w:ascii="Arial" w:hAnsi="Arial" w:cs="Arial"/>
          <w:bCs/>
        </w:rPr>
      </w:pPr>
      <w:r w:rsidRPr="00F07599">
        <w:rPr>
          <w:rFonts w:ascii="Arial" w:hAnsi="Arial" w:cs="Arial"/>
          <w:bCs/>
        </w:rPr>
        <w:br/>
        <w:t>Together, the BASC–3 components offer a comprehensive system for identifying, evaluating, monitoring, and remediating behavioral and emotional problems in children and adolescents</w:t>
      </w:r>
      <w:r w:rsidR="00A05AC8" w:rsidRPr="00F07599">
        <w:rPr>
          <w:rFonts w:ascii="Arial" w:hAnsi="Arial" w:cs="Arial"/>
          <w:bCs/>
        </w:rPr>
        <w:t xml:space="preserve">.  </w:t>
      </w:r>
      <w:r w:rsidRPr="00F07599">
        <w:rPr>
          <w:rFonts w:ascii="Arial" w:hAnsi="Arial" w:cs="Arial"/>
          <w:bCs/>
        </w:rPr>
        <w:t>Each component can be used individually or in whatever combination is best suited to the situation.</w:t>
      </w:r>
    </w:p>
    <w:p w14:paraId="685327A2" w14:textId="77777777" w:rsidR="00592074" w:rsidRPr="00666BB0" w:rsidRDefault="00592074" w:rsidP="00592074">
      <w:pPr>
        <w:ind w:right="42"/>
        <w:rPr>
          <w:rFonts w:asciiTheme="minorHAnsi" w:hAnsiTheme="minorHAnsi"/>
          <w:b/>
          <w:sz w:val="22"/>
          <w:szCs w:val="22"/>
        </w:rPr>
      </w:pPr>
    </w:p>
    <w:p w14:paraId="0579D36C" w14:textId="23242928" w:rsidR="00592074" w:rsidRDefault="00592074" w:rsidP="00A05AC8">
      <w:pPr>
        <w:ind w:right="42"/>
        <w:rPr>
          <w:rFonts w:ascii="Arial" w:hAnsi="Arial" w:cs="Arial"/>
          <w:sz w:val="22"/>
          <w:szCs w:val="22"/>
        </w:rPr>
      </w:pPr>
      <w:r w:rsidRPr="00666BB0">
        <w:rPr>
          <w:rFonts w:ascii="Arial" w:hAnsi="Arial" w:cs="Arial"/>
          <w:b/>
          <w:sz w:val="22"/>
          <w:szCs w:val="22"/>
        </w:rPr>
        <w:t>L</w:t>
      </w:r>
      <w:r w:rsidR="00035537" w:rsidRPr="00666BB0">
        <w:rPr>
          <w:rFonts w:ascii="Arial" w:hAnsi="Arial" w:cs="Arial"/>
          <w:b/>
          <w:sz w:val="22"/>
          <w:szCs w:val="22"/>
        </w:rPr>
        <w:t>imits</w:t>
      </w:r>
      <w:r w:rsidRPr="00666BB0">
        <w:rPr>
          <w:rFonts w:ascii="Arial" w:hAnsi="Arial" w:cs="Arial"/>
          <w:b/>
          <w:sz w:val="22"/>
          <w:szCs w:val="22"/>
        </w:rPr>
        <w:t xml:space="preserve"> (if any)</w:t>
      </w:r>
      <w:r w:rsidR="00666BB0" w:rsidRPr="00666BB0">
        <w:rPr>
          <w:rFonts w:ascii="Arial" w:hAnsi="Arial" w:cs="Arial"/>
          <w:b/>
          <w:sz w:val="22"/>
          <w:szCs w:val="22"/>
        </w:rPr>
        <w:t xml:space="preserve"> </w:t>
      </w:r>
      <w:r w:rsidRPr="00666BB0">
        <w:rPr>
          <w:rFonts w:ascii="Arial" w:hAnsi="Arial" w:cs="Arial"/>
          <w:sz w:val="22"/>
          <w:szCs w:val="22"/>
        </w:rPr>
        <w:t>I wish to list or limit what personal information can be collected and disclosed as follows:</w:t>
      </w:r>
      <w:r w:rsidR="00EA628E" w:rsidRPr="00666BB0">
        <w:rPr>
          <w:rFonts w:ascii="Arial" w:hAnsi="Arial" w:cs="Arial"/>
          <w:sz w:val="22"/>
          <w:szCs w:val="22"/>
        </w:rPr>
        <w:t xml:space="preserve"> </w:t>
      </w:r>
    </w:p>
    <w:p w14:paraId="33AC4D6A" w14:textId="7422A4C9" w:rsidR="00A05AC8" w:rsidRDefault="00A05AC8" w:rsidP="00A05AC8">
      <w:pPr>
        <w:ind w:right="42"/>
        <w:rPr>
          <w:rFonts w:ascii="Arial" w:hAnsi="Arial" w:cs="Arial"/>
          <w:b/>
          <w:sz w:val="22"/>
          <w:szCs w:val="22"/>
        </w:rPr>
      </w:pPr>
    </w:p>
    <w:p w14:paraId="16ACD079" w14:textId="77777777" w:rsidR="00A05AC8" w:rsidRPr="00A05AC8" w:rsidRDefault="00A05AC8" w:rsidP="00A05AC8">
      <w:pPr>
        <w:rPr>
          <w:lang w:val="en-GB"/>
        </w:rPr>
      </w:pPr>
    </w:p>
    <w:tbl>
      <w:tblPr>
        <w:tblStyle w:val="TableGrid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5467"/>
        <w:gridCol w:w="759"/>
        <w:gridCol w:w="3353"/>
      </w:tblGrid>
      <w:tr w:rsidR="00592074" w:rsidRPr="00B53AE2" w14:paraId="661E361F" w14:textId="77777777" w:rsidTr="00A05AC8">
        <w:trPr>
          <w:trHeight w:val="566"/>
        </w:trPr>
        <w:tc>
          <w:tcPr>
            <w:tcW w:w="1047" w:type="dxa"/>
            <w:vAlign w:val="bottom"/>
          </w:tcPr>
          <w:p w14:paraId="1B74D34C" w14:textId="77777777" w:rsidR="00592074" w:rsidRPr="00B53AE2" w:rsidRDefault="00592074" w:rsidP="005B3C22">
            <w:pPr>
              <w:ind w:left="-108" w:right="-105"/>
              <w:rPr>
                <w:rFonts w:asciiTheme="minorHAnsi" w:hAnsiTheme="minorHAnsi"/>
              </w:rPr>
            </w:pPr>
            <w:r w:rsidRPr="00B53AE2">
              <w:rPr>
                <w:rFonts w:asciiTheme="minorHAnsi" w:hAnsiTheme="minorHAnsi"/>
                <w:sz w:val="22"/>
              </w:rPr>
              <w:t>Signature:</w:t>
            </w:r>
          </w:p>
        </w:tc>
        <w:tc>
          <w:tcPr>
            <w:tcW w:w="5467" w:type="dxa"/>
            <w:vAlign w:val="bottom"/>
          </w:tcPr>
          <w:p w14:paraId="6BDADD41" w14:textId="71DD6662" w:rsidR="00592074" w:rsidRPr="00B53AE2" w:rsidRDefault="00592074" w:rsidP="005B3C22">
            <w:pPr>
              <w:ind w:right="42"/>
              <w:rPr>
                <w:rFonts w:asciiTheme="minorHAnsi" w:hAnsiTheme="minorHAnsi"/>
              </w:rPr>
            </w:pPr>
          </w:p>
        </w:tc>
        <w:tc>
          <w:tcPr>
            <w:tcW w:w="759" w:type="dxa"/>
            <w:vAlign w:val="bottom"/>
          </w:tcPr>
          <w:p w14:paraId="4666EDDD" w14:textId="77777777" w:rsidR="00592074" w:rsidRPr="00B53AE2" w:rsidRDefault="00592074" w:rsidP="005B3C22">
            <w:pPr>
              <w:ind w:right="42"/>
              <w:rPr>
                <w:rFonts w:asciiTheme="minorHAnsi" w:hAnsiTheme="minorHAnsi"/>
              </w:rPr>
            </w:pPr>
            <w:r w:rsidRPr="00B53AE2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353" w:type="dxa"/>
            <w:vAlign w:val="bottom"/>
          </w:tcPr>
          <w:p w14:paraId="75C01CCF" w14:textId="01A9CF3E" w:rsidR="00592074" w:rsidRPr="00B53AE2" w:rsidRDefault="00592074" w:rsidP="005B3C22">
            <w:pPr>
              <w:ind w:right="42"/>
              <w:rPr>
                <w:rFonts w:asciiTheme="minorHAnsi" w:hAnsiTheme="minorHAnsi"/>
              </w:rPr>
            </w:pPr>
          </w:p>
        </w:tc>
      </w:tr>
      <w:tr w:rsidR="00A05AC8" w:rsidRPr="00B53AE2" w14:paraId="2EAF2120" w14:textId="77777777" w:rsidTr="00A05AC8">
        <w:trPr>
          <w:trHeight w:val="305"/>
        </w:trPr>
        <w:tc>
          <w:tcPr>
            <w:tcW w:w="1047" w:type="dxa"/>
            <w:vAlign w:val="bottom"/>
          </w:tcPr>
          <w:p w14:paraId="55BC6281" w14:textId="77777777" w:rsidR="00A05AC8" w:rsidRPr="00B53AE2" w:rsidRDefault="00A05AC8" w:rsidP="005B3C22">
            <w:pPr>
              <w:ind w:left="-108" w:right="-105"/>
              <w:rPr>
                <w:rFonts w:asciiTheme="minorHAnsi" w:hAnsiTheme="minorHAnsi"/>
                <w:sz w:val="22"/>
              </w:rPr>
            </w:pPr>
          </w:p>
        </w:tc>
        <w:tc>
          <w:tcPr>
            <w:tcW w:w="9579" w:type="dxa"/>
            <w:gridSpan w:val="3"/>
            <w:vAlign w:val="bottom"/>
          </w:tcPr>
          <w:p w14:paraId="1A83004C" w14:textId="348E458E" w:rsidR="00A05AC8" w:rsidRPr="005914DD" w:rsidRDefault="00A05AC8" w:rsidP="005B3C22">
            <w:pPr>
              <w:ind w:right="42"/>
              <w:rPr>
                <w:rFonts w:asciiTheme="minorHAnsi" w:hAnsiTheme="minorHAnsi"/>
                <w:b/>
              </w:rPr>
            </w:pPr>
            <w:r w:rsidRPr="005914DD">
              <w:rPr>
                <w:rFonts w:asciiTheme="minorHAnsi" w:hAnsiTheme="minorHAnsi"/>
                <w:b/>
                <w:sz w:val="20"/>
                <w:szCs w:val="20"/>
              </w:rPr>
              <w:t>Youth</w:t>
            </w:r>
            <w:r w:rsidR="005914DD" w:rsidRPr="005914DD">
              <w:rPr>
                <w:rFonts w:asciiTheme="minorHAnsi" w:hAnsiTheme="minorHAnsi"/>
                <w:b/>
                <w:sz w:val="20"/>
                <w:szCs w:val="20"/>
              </w:rPr>
              <w:t>’</w:t>
            </w:r>
            <w:r w:rsidRPr="005914DD">
              <w:rPr>
                <w:rFonts w:asciiTheme="minorHAnsi" w:hAnsiTheme="minorHAnsi"/>
                <w:b/>
                <w:sz w:val="20"/>
                <w:szCs w:val="20"/>
              </w:rPr>
              <w:t>s Signature (over 16 yr. old) OR Worker’s Signature</w:t>
            </w:r>
          </w:p>
        </w:tc>
      </w:tr>
    </w:tbl>
    <w:p w14:paraId="28F7A13D" w14:textId="575F32CF" w:rsidR="00EE63C6" w:rsidRPr="00EE63C6" w:rsidRDefault="007D35D1" w:rsidP="00EE63C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D35D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Notes: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E63C6" w:rsidRPr="00EE63C6">
        <w:rPr>
          <w:rFonts w:asciiTheme="minorHAnsi" w:hAnsiTheme="minorHAnsi" w:cstheme="minorHAnsi"/>
          <w:sz w:val="22"/>
          <w:szCs w:val="22"/>
        </w:rPr>
        <w:t xml:space="preserve">When consent is required under Part X and the agency’s privacy policies, the following authorized persons may give consent: </w:t>
      </w:r>
      <w:r w:rsidR="00484C1C">
        <w:rPr>
          <w:rFonts w:asciiTheme="minorHAnsi" w:hAnsiTheme="minorHAnsi" w:cstheme="minorHAnsi"/>
          <w:sz w:val="22"/>
          <w:szCs w:val="22"/>
        </w:rPr>
        <w:br/>
      </w:r>
    </w:p>
    <w:p w14:paraId="3EF1742E" w14:textId="77777777" w:rsidR="00EE63C6" w:rsidRPr="00EE63C6" w:rsidRDefault="00EE63C6" w:rsidP="00D518B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84C1C">
        <w:rPr>
          <w:rFonts w:asciiTheme="minorHAnsi" w:hAnsiTheme="minorHAnsi" w:cstheme="minorHAnsi"/>
          <w:sz w:val="22"/>
          <w:szCs w:val="22"/>
          <w:u w:val="single"/>
        </w:rPr>
        <w:t xml:space="preserve">The </w:t>
      </w:r>
      <w:proofErr w:type="gramStart"/>
      <w:r w:rsidRPr="00484C1C">
        <w:rPr>
          <w:rFonts w:asciiTheme="minorHAnsi" w:hAnsiTheme="minorHAnsi" w:cstheme="minorHAnsi"/>
          <w:sz w:val="22"/>
          <w:szCs w:val="22"/>
          <w:u w:val="single"/>
        </w:rPr>
        <w:t>individual</w:t>
      </w:r>
      <w:r w:rsidRPr="00EE63C6">
        <w:rPr>
          <w:rFonts w:asciiTheme="minorHAnsi" w:hAnsiTheme="minorHAnsi" w:cstheme="minorHAnsi"/>
          <w:sz w:val="22"/>
          <w:szCs w:val="22"/>
        </w:rPr>
        <w:t>, if</w:t>
      </w:r>
      <w:proofErr w:type="gramEnd"/>
      <w:r w:rsidRPr="00EE63C6">
        <w:rPr>
          <w:rFonts w:asciiTheme="minorHAnsi" w:hAnsiTheme="minorHAnsi" w:cstheme="minorHAnsi"/>
          <w:sz w:val="22"/>
          <w:szCs w:val="22"/>
        </w:rPr>
        <w:t xml:space="preserve"> the individual is capable. </w:t>
      </w:r>
    </w:p>
    <w:p w14:paraId="5002EC71" w14:textId="77777777" w:rsidR="00EE63C6" w:rsidRPr="00EA628E" w:rsidRDefault="00EE63C6" w:rsidP="00D518BE">
      <w:pPr>
        <w:rPr>
          <w:rFonts w:asciiTheme="minorHAnsi" w:hAnsiTheme="minorHAnsi" w:cstheme="minorHAnsi"/>
          <w:b/>
          <w:sz w:val="18"/>
          <w:szCs w:val="22"/>
        </w:rPr>
      </w:pPr>
    </w:p>
    <w:p w14:paraId="1B357BD3" w14:textId="77777777" w:rsidR="00484C1C" w:rsidRPr="00EA628E" w:rsidRDefault="00306E09" w:rsidP="00484C1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</w:rPr>
      </w:pPr>
      <w:r w:rsidRPr="00484C1C">
        <w:rPr>
          <w:rFonts w:asciiTheme="minorHAnsi" w:hAnsiTheme="minorHAnsi" w:cstheme="minorHAnsi"/>
          <w:u w:val="single"/>
        </w:rPr>
        <w:t xml:space="preserve">A capable child or youth </w:t>
      </w:r>
      <w:r w:rsidR="00EE63C6" w:rsidRPr="00484C1C">
        <w:rPr>
          <w:rFonts w:asciiTheme="minorHAnsi" w:hAnsiTheme="minorHAnsi" w:cstheme="minorHAnsi"/>
          <w:u w:val="single"/>
        </w:rPr>
        <w:t>under the age of 16</w:t>
      </w:r>
      <w:r w:rsidR="00484C1C" w:rsidRPr="00484C1C">
        <w:rPr>
          <w:rFonts w:asciiTheme="minorHAnsi" w:hAnsiTheme="minorHAnsi" w:cstheme="minorHAnsi"/>
          <w:u w:val="single"/>
        </w:rPr>
        <w:t xml:space="preserve">. </w:t>
      </w:r>
      <w:r w:rsidR="00484C1C" w:rsidRPr="00484C1C">
        <w:rPr>
          <w:rFonts w:asciiTheme="minorHAnsi" w:hAnsiTheme="minorHAnsi" w:cstheme="minorHAnsi"/>
        </w:rPr>
        <w:t>The</w:t>
      </w:r>
      <w:r w:rsidR="00EE63C6" w:rsidRPr="00484C1C">
        <w:rPr>
          <w:rFonts w:asciiTheme="minorHAnsi" w:hAnsiTheme="minorHAnsi" w:cstheme="minorHAnsi"/>
        </w:rPr>
        <w:t xml:space="preserve"> individual </w:t>
      </w:r>
      <w:r w:rsidR="00484C1C" w:rsidRPr="00484C1C">
        <w:rPr>
          <w:rFonts w:asciiTheme="minorHAnsi" w:hAnsiTheme="minorHAnsi" w:cstheme="minorHAnsi"/>
        </w:rPr>
        <w:t xml:space="preserve">child or youth must consent to the release of their own information. </w:t>
      </w:r>
      <w:r w:rsidR="00484C1C">
        <w:rPr>
          <w:rFonts w:asciiTheme="minorHAnsi" w:hAnsiTheme="minorHAnsi" w:cstheme="minorHAnsi"/>
        </w:rPr>
        <w:br/>
      </w:r>
    </w:p>
    <w:p w14:paraId="6DDC2025" w14:textId="77777777" w:rsidR="00D518BE" w:rsidRPr="00BB2D05" w:rsidRDefault="00306E09" w:rsidP="00D518B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BB2D05">
        <w:rPr>
          <w:rFonts w:asciiTheme="minorHAnsi" w:hAnsiTheme="minorHAnsi" w:cstheme="minorHAnsi"/>
          <w:u w:val="single"/>
        </w:rPr>
        <w:t>A custodial caregiver</w:t>
      </w:r>
      <w:r w:rsidR="00484C1C" w:rsidRPr="00BB2D05">
        <w:rPr>
          <w:rFonts w:asciiTheme="minorHAnsi" w:hAnsiTheme="minorHAnsi" w:cstheme="minorHAnsi"/>
          <w:u w:val="single"/>
        </w:rPr>
        <w:t xml:space="preserve"> to the incapable child or youth</w:t>
      </w:r>
      <w:r w:rsidRPr="00BB2D05">
        <w:rPr>
          <w:rFonts w:asciiTheme="minorHAnsi" w:hAnsiTheme="minorHAnsi" w:cstheme="minorHAnsi"/>
          <w:u w:val="single"/>
        </w:rPr>
        <w:t>.</w:t>
      </w:r>
      <w:r w:rsidRPr="00BB2D05">
        <w:rPr>
          <w:rFonts w:asciiTheme="minorHAnsi" w:hAnsiTheme="minorHAnsi" w:cstheme="minorHAnsi"/>
        </w:rPr>
        <w:t xml:space="preserve">  </w:t>
      </w:r>
      <w:r w:rsidR="007F3B5B" w:rsidRPr="00BB2D05">
        <w:rPr>
          <w:rFonts w:asciiTheme="minorHAnsi" w:hAnsiTheme="minorHAnsi" w:cstheme="minorHAnsi"/>
        </w:rPr>
        <w:t>If there is more than one caregiver or person who has custody (</w:t>
      </w:r>
      <w:r w:rsidR="00D518BE" w:rsidRPr="00BB2D05">
        <w:rPr>
          <w:rFonts w:asciiTheme="minorHAnsi" w:hAnsiTheme="minorHAnsi" w:cstheme="minorHAnsi"/>
        </w:rPr>
        <w:t>joint custody</w:t>
      </w:r>
      <w:r w:rsidR="007F3B5B" w:rsidRPr="00BB2D05">
        <w:rPr>
          <w:rFonts w:asciiTheme="minorHAnsi" w:hAnsiTheme="minorHAnsi" w:cstheme="minorHAnsi"/>
        </w:rPr>
        <w:t>)</w:t>
      </w:r>
      <w:r w:rsidR="00D518BE" w:rsidRPr="00BB2D05">
        <w:rPr>
          <w:rFonts w:asciiTheme="minorHAnsi" w:hAnsiTheme="minorHAnsi" w:cstheme="minorHAnsi"/>
        </w:rPr>
        <w:t xml:space="preserve">, each individual </w:t>
      </w:r>
      <w:r w:rsidR="007F3B5B" w:rsidRPr="00BB2D05">
        <w:rPr>
          <w:rFonts w:asciiTheme="minorHAnsi" w:hAnsiTheme="minorHAnsi" w:cstheme="minorHAnsi"/>
        </w:rPr>
        <w:t xml:space="preserve">custodial caregiver has the right of </w:t>
      </w:r>
      <w:r w:rsidR="00D518BE" w:rsidRPr="00BB2D05">
        <w:rPr>
          <w:rFonts w:asciiTheme="minorHAnsi" w:hAnsiTheme="minorHAnsi" w:cstheme="minorHAnsi"/>
        </w:rPr>
        <w:t xml:space="preserve">access to </w:t>
      </w:r>
      <w:r w:rsidRPr="00BB2D05">
        <w:rPr>
          <w:rFonts w:asciiTheme="minorHAnsi" w:hAnsiTheme="minorHAnsi" w:cstheme="minorHAnsi"/>
        </w:rPr>
        <w:t xml:space="preserve">the </w:t>
      </w:r>
      <w:r w:rsidR="00D518BE" w:rsidRPr="00BB2D05">
        <w:rPr>
          <w:rFonts w:asciiTheme="minorHAnsi" w:hAnsiTheme="minorHAnsi" w:cstheme="minorHAnsi"/>
        </w:rPr>
        <w:t>records of their children</w:t>
      </w:r>
      <w:r w:rsidR="00484C1C" w:rsidRPr="00BB2D05">
        <w:rPr>
          <w:rFonts w:asciiTheme="minorHAnsi" w:hAnsiTheme="minorHAnsi" w:cstheme="minorHAnsi"/>
        </w:rPr>
        <w:t xml:space="preserve"> or youth</w:t>
      </w:r>
      <w:r w:rsidR="00D518BE" w:rsidRPr="00BB2D05">
        <w:rPr>
          <w:rFonts w:asciiTheme="minorHAnsi" w:hAnsiTheme="minorHAnsi" w:cstheme="minorHAnsi"/>
        </w:rPr>
        <w:t xml:space="preserve"> and only one </w:t>
      </w:r>
      <w:r w:rsidRPr="00BB2D05">
        <w:rPr>
          <w:rFonts w:asciiTheme="minorHAnsi" w:hAnsiTheme="minorHAnsi" w:cstheme="minorHAnsi"/>
        </w:rPr>
        <w:t xml:space="preserve">custodial </w:t>
      </w:r>
      <w:r w:rsidR="007F3B5B" w:rsidRPr="00BB2D05">
        <w:rPr>
          <w:rFonts w:asciiTheme="minorHAnsi" w:hAnsiTheme="minorHAnsi" w:cstheme="minorHAnsi"/>
        </w:rPr>
        <w:t>caregiver</w:t>
      </w:r>
      <w:r w:rsidR="00D518BE" w:rsidRPr="00BB2D05">
        <w:rPr>
          <w:rFonts w:asciiTheme="minorHAnsi" w:hAnsiTheme="minorHAnsi" w:cstheme="minorHAnsi"/>
        </w:rPr>
        <w:t xml:space="preserve">’s consent is required to </w:t>
      </w:r>
      <w:r w:rsidR="007F3B5B" w:rsidRPr="00BB2D05">
        <w:rPr>
          <w:rFonts w:asciiTheme="minorHAnsi" w:hAnsiTheme="minorHAnsi" w:cstheme="minorHAnsi"/>
        </w:rPr>
        <w:t>collect</w:t>
      </w:r>
      <w:r w:rsidR="00D518BE" w:rsidRPr="00BB2D05">
        <w:rPr>
          <w:rFonts w:asciiTheme="minorHAnsi" w:hAnsiTheme="minorHAnsi" w:cstheme="minorHAnsi"/>
        </w:rPr>
        <w:t xml:space="preserve"> and/or disclose information regarding the children</w:t>
      </w:r>
      <w:r w:rsidR="00484C1C" w:rsidRPr="00BB2D05">
        <w:rPr>
          <w:rFonts w:asciiTheme="minorHAnsi" w:hAnsiTheme="minorHAnsi" w:cstheme="minorHAnsi"/>
        </w:rPr>
        <w:t xml:space="preserve"> or youth</w:t>
      </w:r>
      <w:r w:rsidR="00D518BE" w:rsidRPr="00BB2D05">
        <w:rPr>
          <w:rFonts w:asciiTheme="minorHAnsi" w:hAnsiTheme="minorHAnsi" w:cstheme="minorHAnsi"/>
        </w:rPr>
        <w:t xml:space="preserve">. </w:t>
      </w:r>
    </w:p>
    <w:p w14:paraId="30CA2B1F" w14:textId="77777777" w:rsidR="007D35D1" w:rsidRPr="00EA628E" w:rsidRDefault="007D35D1" w:rsidP="00D518BE">
      <w:pPr>
        <w:pStyle w:val="ListParagraph"/>
        <w:rPr>
          <w:rFonts w:asciiTheme="minorHAnsi" w:hAnsiTheme="minorHAnsi" w:cstheme="minorHAnsi"/>
          <w:sz w:val="18"/>
        </w:rPr>
      </w:pPr>
    </w:p>
    <w:p w14:paraId="56E50B84" w14:textId="670EE4AF" w:rsidR="00EE63C6" w:rsidRPr="00484C1C" w:rsidRDefault="00306E09" w:rsidP="004E56D3">
      <w:pPr>
        <w:pStyle w:val="ListParagraph"/>
        <w:ind w:left="810"/>
        <w:contextualSpacing/>
        <w:rPr>
          <w:rFonts w:asciiTheme="minorHAnsi" w:hAnsiTheme="minorHAnsi" w:cstheme="minorHAnsi"/>
          <w:sz w:val="20"/>
          <w:szCs w:val="20"/>
        </w:rPr>
      </w:pPr>
      <w:r w:rsidRPr="00484C1C">
        <w:rPr>
          <w:rFonts w:asciiTheme="minorHAnsi" w:hAnsiTheme="minorHAnsi" w:cstheme="minorHAnsi"/>
          <w:sz w:val="20"/>
          <w:szCs w:val="20"/>
        </w:rPr>
        <w:t xml:space="preserve">Note: 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the </w:t>
      </w:r>
      <w:r w:rsidR="007F3B5B" w:rsidRPr="00BB2D05">
        <w:rPr>
          <w:rFonts w:asciiTheme="minorHAnsi" w:hAnsiTheme="minorHAnsi" w:cstheme="minorHAnsi"/>
          <w:sz w:val="20"/>
          <w:szCs w:val="20"/>
        </w:rPr>
        <w:t xml:space="preserve">caregiver 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or person with lawful custody may </w:t>
      </w:r>
      <w:r w:rsidR="00EE63C6" w:rsidRPr="00484C1C">
        <w:rPr>
          <w:rFonts w:asciiTheme="minorHAnsi" w:hAnsiTheme="minorHAnsi" w:cstheme="minorHAnsi"/>
          <w:sz w:val="20"/>
          <w:szCs w:val="20"/>
          <w:u w:val="single"/>
        </w:rPr>
        <w:t>not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 consent if the information to be disclosed relates to “treatment” (as defined under the </w:t>
      </w:r>
      <w:r w:rsidR="00EE63C6" w:rsidRPr="00484C1C">
        <w:rPr>
          <w:rFonts w:asciiTheme="minorHAnsi" w:hAnsiTheme="minorHAnsi" w:cstheme="minorHAnsi"/>
          <w:i/>
          <w:sz w:val="20"/>
          <w:szCs w:val="20"/>
        </w:rPr>
        <w:t>Health Care Consent Act, 1996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) about which the child or youth has made their own decision or “counseling” (as defined under the </w:t>
      </w:r>
      <w:r w:rsidR="00EE63C6" w:rsidRPr="00484C1C">
        <w:rPr>
          <w:rFonts w:asciiTheme="minorHAnsi" w:hAnsiTheme="minorHAnsi" w:cstheme="minorHAnsi"/>
          <w:i/>
          <w:sz w:val="20"/>
          <w:szCs w:val="20"/>
        </w:rPr>
        <w:t>Child, Youth and Family Services Act, 2017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) about which the child participated on their own. (That means, if a child or youth consented to the treatment or counseling on their own, a </w:t>
      </w:r>
      <w:r w:rsidRPr="00484C1C">
        <w:rPr>
          <w:rFonts w:asciiTheme="minorHAnsi" w:hAnsiTheme="minorHAnsi" w:cstheme="minorHAnsi"/>
          <w:sz w:val="20"/>
          <w:szCs w:val="20"/>
        </w:rPr>
        <w:t xml:space="preserve">caregiver </w:t>
      </w:r>
      <w:r w:rsidR="00EE63C6" w:rsidRPr="00484C1C">
        <w:rPr>
          <w:rFonts w:asciiTheme="minorHAnsi" w:hAnsiTheme="minorHAnsi" w:cstheme="minorHAnsi"/>
          <w:sz w:val="20"/>
          <w:szCs w:val="20"/>
        </w:rPr>
        <w:t>cannot consent to the release of that information on behalf of the child</w:t>
      </w:r>
      <w:r w:rsidRPr="00484C1C">
        <w:rPr>
          <w:rFonts w:asciiTheme="minorHAnsi" w:hAnsiTheme="minorHAnsi" w:cstheme="minorHAnsi"/>
          <w:sz w:val="20"/>
          <w:szCs w:val="20"/>
        </w:rPr>
        <w:t xml:space="preserve"> or youth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). </w:t>
      </w:r>
      <w:bookmarkStart w:id="0" w:name="_Hlk38974687"/>
      <w:r w:rsidR="007D35D1" w:rsidRPr="00484C1C">
        <w:rPr>
          <w:rFonts w:asciiTheme="minorHAnsi" w:hAnsiTheme="minorHAnsi" w:cstheme="minorHAnsi"/>
          <w:sz w:val="20"/>
          <w:szCs w:val="20"/>
        </w:rPr>
        <w:t>I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f there is a disagreement between a capable child or youth and the </w:t>
      </w:r>
      <w:r w:rsidRPr="00484C1C">
        <w:rPr>
          <w:rFonts w:asciiTheme="minorHAnsi" w:hAnsiTheme="minorHAnsi" w:cstheme="minorHAnsi"/>
          <w:sz w:val="20"/>
          <w:szCs w:val="20"/>
        </w:rPr>
        <w:t>custodial caregiver</w:t>
      </w:r>
      <w:r w:rsidR="00EE63C6" w:rsidRPr="00484C1C">
        <w:rPr>
          <w:rFonts w:asciiTheme="minorHAnsi" w:hAnsiTheme="minorHAnsi" w:cstheme="minorHAnsi"/>
          <w:sz w:val="20"/>
          <w:szCs w:val="20"/>
        </w:rPr>
        <w:t xml:space="preserve"> about the release of information, the capable child or youth’s wishes prevail. </w:t>
      </w:r>
    </w:p>
    <w:p w14:paraId="2BF7BD31" w14:textId="77777777" w:rsidR="00EE63C6" w:rsidRPr="00EE63C6" w:rsidRDefault="00EE63C6" w:rsidP="00D518BE">
      <w:pPr>
        <w:ind w:left="720"/>
        <w:rPr>
          <w:rFonts w:asciiTheme="minorHAnsi" w:hAnsiTheme="minorHAnsi" w:cstheme="minorHAnsi"/>
          <w:sz w:val="22"/>
          <w:szCs w:val="22"/>
        </w:rPr>
      </w:pPr>
    </w:p>
    <w:bookmarkEnd w:id="0"/>
    <w:p w14:paraId="5A21CC67" w14:textId="77777777" w:rsidR="00EE63C6" w:rsidRPr="00EE63C6" w:rsidRDefault="00EE63C6" w:rsidP="00D518B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E63C6">
        <w:rPr>
          <w:rFonts w:asciiTheme="minorHAnsi" w:hAnsiTheme="minorHAnsi" w:cstheme="minorHAnsi"/>
          <w:sz w:val="22"/>
          <w:szCs w:val="22"/>
        </w:rPr>
        <w:t xml:space="preserve">A </w:t>
      </w:r>
      <w:r w:rsidRPr="00EE63C6">
        <w:rPr>
          <w:rFonts w:asciiTheme="minorHAnsi" w:hAnsiTheme="minorHAnsi" w:cstheme="minorHAnsi"/>
          <w:sz w:val="22"/>
          <w:szCs w:val="22"/>
          <w:u w:val="single"/>
        </w:rPr>
        <w:t>substitute decision-</w:t>
      </w:r>
      <w:proofErr w:type="gramStart"/>
      <w:r w:rsidRPr="00EE63C6">
        <w:rPr>
          <w:rFonts w:asciiTheme="minorHAnsi" w:hAnsiTheme="minorHAnsi" w:cstheme="minorHAnsi"/>
          <w:sz w:val="22"/>
          <w:szCs w:val="22"/>
          <w:u w:val="single"/>
        </w:rPr>
        <w:t>maker</w:t>
      </w:r>
      <w:r w:rsidRPr="00EE63C6">
        <w:rPr>
          <w:rFonts w:asciiTheme="minorHAnsi" w:hAnsiTheme="minorHAnsi" w:cstheme="minorHAnsi"/>
          <w:sz w:val="22"/>
          <w:szCs w:val="22"/>
        </w:rPr>
        <w:t>, if</w:t>
      </w:r>
      <w:proofErr w:type="gramEnd"/>
      <w:r w:rsidRPr="00EE63C6">
        <w:rPr>
          <w:rFonts w:asciiTheme="minorHAnsi" w:hAnsiTheme="minorHAnsi" w:cstheme="minorHAnsi"/>
          <w:sz w:val="22"/>
          <w:szCs w:val="22"/>
        </w:rPr>
        <w:t xml:space="preserve"> the individual is incapable. The following is a prioritized list of possible substitute decision-makers, meaning if someone or a group outranks another person or group lower on the list, that higher ranked person or group is the substitute decision-maker(s). </w:t>
      </w:r>
      <w:r w:rsidRPr="00EE63C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</w:p>
    <w:p w14:paraId="5DAB6FD2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Substitute decision-maker under the </w:t>
      </w:r>
      <w:r w:rsidRPr="00EE63C6">
        <w:rPr>
          <w:rFonts w:asciiTheme="minorHAnsi" w:hAnsiTheme="minorHAnsi" w:cstheme="minorHAnsi"/>
          <w:i/>
          <w:color w:val="000000"/>
          <w:sz w:val="22"/>
          <w:szCs w:val="22"/>
        </w:rPr>
        <w:t>Health Care Consent Act</w:t>
      </w:r>
      <w:r w:rsidRPr="00EE63C6">
        <w:rPr>
          <w:rFonts w:asciiTheme="minorHAnsi" w:hAnsiTheme="minorHAnsi" w:cstheme="minorHAnsi"/>
          <w:color w:val="000000"/>
          <w:sz w:val="22"/>
          <w:szCs w:val="22"/>
        </w:rPr>
        <w:t>, for specified purposes.</w:t>
      </w:r>
    </w:p>
    <w:p w14:paraId="14EDB46B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The individual’s guardian of the person or guardian of </w:t>
      </w:r>
      <w:proofErr w:type="gramStart"/>
      <w:r w:rsidRPr="00EE63C6">
        <w:rPr>
          <w:rFonts w:asciiTheme="minorHAnsi" w:hAnsiTheme="minorHAnsi" w:cstheme="minorHAnsi"/>
          <w:color w:val="000000"/>
          <w:sz w:val="22"/>
          <w:szCs w:val="22"/>
        </w:rPr>
        <w:t>property, if</w:t>
      </w:r>
      <w:proofErr w:type="gramEnd"/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 the consent relates to the guardian’s authority to make a decision on behalf of the individual (please ask to see a copy of the documentation).</w:t>
      </w:r>
    </w:p>
    <w:p w14:paraId="7E2F1A46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The individual’s attorney for personal care or attorney for </w:t>
      </w:r>
      <w:proofErr w:type="gramStart"/>
      <w:r w:rsidRPr="00EE63C6">
        <w:rPr>
          <w:rFonts w:asciiTheme="minorHAnsi" w:hAnsiTheme="minorHAnsi" w:cstheme="minorHAnsi"/>
          <w:color w:val="000000"/>
          <w:sz w:val="22"/>
          <w:szCs w:val="22"/>
        </w:rPr>
        <w:t>property, if</w:t>
      </w:r>
      <w:proofErr w:type="gramEnd"/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 the consent relates to the attorney’s authority to make a decision on behalf of the individual (please ask to see a copy of the documentation).</w:t>
      </w:r>
    </w:p>
    <w:p w14:paraId="700FF27A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The individual’s representative appointed by the Consent and Capacity </w:t>
      </w:r>
      <w:proofErr w:type="gramStart"/>
      <w:r w:rsidRPr="00EE63C6">
        <w:rPr>
          <w:rFonts w:asciiTheme="minorHAnsi" w:hAnsiTheme="minorHAnsi" w:cstheme="minorHAnsi"/>
          <w:color w:val="000000"/>
          <w:sz w:val="22"/>
          <w:szCs w:val="22"/>
        </w:rPr>
        <w:t>Board, if</w:t>
      </w:r>
      <w:proofErr w:type="gramEnd"/>
      <w:r w:rsidRPr="00EE63C6">
        <w:rPr>
          <w:rFonts w:asciiTheme="minorHAnsi" w:hAnsiTheme="minorHAnsi" w:cstheme="minorHAnsi"/>
          <w:color w:val="000000"/>
          <w:sz w:val="22"/>
          <w:szCs w:val="22"/>
        </w:rPr>
        <w:t xml:space="preserve"> the representative has authority to give the consent (please ask to see a copy of the documentation).</w:t>
      </w:r>
    </w:p>
    <w:p w14:paraId="2ED626AF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>The individual’s spouse or partner.</w:t>
      </w:r>
    </w:p>
    <w:p w14:paraId="6896E4DC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>A child or parent of the individual, or a children’s aid society or other person who is lawfully entitled to give or refuse consent in the place of the parent [Note: This paragraph does not include a parent who has only a right of access to the individual. If a children’s aid society or other person is lawfully entitled to consent in the place of the parent, this paragraph does not include the parent.]</w:t>
      </w:r>
    </w:p>
    <w:p w14:paraId="7FD6AB3A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>A parent of the individual with only a right of access to the individual.</w:t>
      </w:r>
    </w:p>
    <w:p w14:paraId="6973D212" w14:textId="77777777" w:rsidR="00EE63C6" w:rsidRPr="00EE63C6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>A sibling of the individual.</w:t>
      </w:r>
    </w:p>
    <w:p w14:paraId="1B4EDC13" w14:textId="77777777" w:rsidR="00EE63C6" w:rsidRPr="00EA628E" w:rsidRDefault="00EE63C6" w:rsidP="00D518BE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0"/>
          <w:szCs w:val="22"/>
        </w:rPr>
      </w:pPr>
      <w:r w:rsidRPr="00EE63C6">
        <w:rPr>
          <w:rFonts w:asciiTheme="minorHAnsi" w:hAnsiTheme="minorHAnsi" w:cstheme="minorHAnsi"/>
          <w:color w:val="000000"/>
          <w:sz w:val="22"/>
          <w:szCs w:val="22"/>
        </w:rPr>
        <w:t>Any other relative of the individual.</w:t>
      </w:r>
      <w:r w:rsidRPr="00EE63C6">
        <w:rPr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484C1C">
        <w:rPr>
          <w:rFonts w:asciiTheme="minorHAnsi" w:eastAsiaTheme="majorEastAsia" w:hAnsiTheme="minorHAnsi" w:cstheme="minorHAnsi"/>
          <w:color w:val="000000"/>
          <w:sz w:val="22"/>
          <w:szCs w:val="22"/>
        </w:rPr>
        <w:br/>
      </w:r>
    </w:p>
    <w:p w14:paraId="3B5D8F15" w14:textId="77777777" w:rsidR="00EE63C6" w:rsidRPr="004E56D3" w:rsidRDefault="004E56D3" w:rsidP="00EC4BB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EE63C6" w:rsidRPr="004E56D3">
        <w:rPr>
          <w:rFonts w:asciiTheme="minorHAnsi" w:hAnsiTheme="minorHAnsi" w:cstheme="minorHAnsi"/>
          <w:sz w:val="22"/>
          <w:szCs w:val="22"/>
          <w:u w:val="single"/>
        </w:rPr>
        <w:t>estate trustee</w:t>
      </w:r>
      <w:r w:rsidR="00EE63C6" w:rsidRPr="004E56D3">
        <w:rPr>
          <w:rFonts w:asciiTheme="minorHAnsi" w:hAnsiTheme="minorHAnsi" w:cstheme="minorHAnsi"/>
          <w:sz w:val="22"/>
          <w:szCs w:val="22"/>
        </w:rPr>
        <w:t>, in the case of a deceased individual (unless the individual has been deceased for more than 30 years, in which case the information is no longer personal information)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EE63C6" w:rsidRPr="004E56D3" w:rsidSect="00D77154">
      <w:headerReference w:type="default" r:id="rId8"/>
      <w:headerReference w:type="first" r:id="rId9"/>
      <w:pgSz w:w="12240" w:h="15840"/>
      <w:pgMar w:top="1350" w:right="810" w:bottom="851" w:left="900" w:header="426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2E54" w14:textId="77777777" w:rsidR="00CF082C" w:rsidRDefault="00CF082C" w:rsidP="00393844">
      <w:r>
        <w:separator/>
      </w:r>
    </w:p>
  </w:endnote>
  <w:endnote w:type="continuationSeparator" w:id="0">
    <w:p w14:paraId="2BA2CB95" w14:textId="77777777" w:rsidR="00CF082C" w:rsidRDefault="00CF082C" w:rsidP="003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1A8A" w14:textId="77777777" w:rsidR="00CF082C" w:rsidRDefault="00CF082C" w:rsidP="00393844">
      <w:r>
        <w:separator/>
      </w:r>
    </w:p>
  </w:footnote>
  <w:footnote w:type="continuationSeparator" w:id="0">
    <w:p w14:paraId="1F4ED017" w14:textId="77777777" w:rsidR="00CF082C" w:rsidRDefault="00CF082C" w:rsidP="0039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7F6" w14:textId="77777777" w:rsidR="00592074" w:rsidRDefault="00592074" w:rsidP="00592074">
    <w:pPr>
      <w:pStyle w:val="Header"/>
      <w:rPr>
        <w:rFonts w:asciiTheme="minorHAnsi" w:hAnsiTheme="minorHAnsi" w:cs="Arial"/>
        <w:sz w:val="32"/>
        <w:szCs w:val="32"/>
      </w:rPr>
    </w:pPr>
    <w:r w:rsidRPr="00592074">
      <w:rPr>
        <w:rFonts w:asciiTheme="minorHAnsi" w:hAnsiTheme="minorHAnsi" w:cs="Arial"/>
        <w:sz w:val="32"/>
        <w:szCs w:val="32"/>
      </w:rPr>
      <w:t>Consent to Share Personal Information</w:t>
    </w:r>
  </w:p>
  <w:p w14:paraId="13E28060" w14:textId="77777777" w:rsidR="008217B5" w:rsidRPr="00592074" w:rsidRDefault="00592074" w:rsidP="00592074">
    <w:pPr>
      <w:pStyle w:val="Header"/>
      <w:pBdr>
        <w:bottom w:val="single" w:sz="4" w:space="1" w:color="auto"/>
      </w:pBdr>
    </w:pPr>
    <w:r w:rsidRPr="00592074">
      <w:rPr>
        <w:rFonts w:asciiTheme="minorHAnsi" w:hAnsiTheme="minorHAnsi"/>
        <w:sz w:val="22"/>
      </w:rPr>
      <w:t>Under Part X of the Child, Youth, and Family Services Act, 2017 (CYFSA)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3966" w14:textId="77777777" w:rsidR="00F07599" w:rsidRDefault="00F07599"/>
  <w:tbl>
    <w:tblPr>
      <w:tblStyle w:val="TableGrid"/>
      <w:tblW w:w="11043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3"/>
      <w:gridCol w:w="4500"/>
    </w:tblGrid>
    <w:tr w:rsidR="00D03BE2" w14:paraId="4C3BD49E" w14:textId="77777777" w:rsidTr="00F07599">
      <w:trPr>
        <w:trHeight w:val="720"/>
      </w:trPr>
      <w:tc>
        <w:tcPr>
          <w:tcW w:w="6543" w:type="dxa"/>
          <w:vAlign w:val="center"/>
        </w:tcPr>
        <w:p w14:paraId="137C703F" w14:textId="77777777" w:rsidR="00D03BE2" w:rsidRDefault="00592074" w:rsidP="00AF404E">
          <w:pPr>
            <w:pStyle w:val="Header"/>
            <w:rPr>
              <w:rFonts w:asciiTheme="minorHAnsi" w:hAnsiTheme="minorHAnsi" w:cs="Arial"/>
              <w:sz w:val="32"/>
              <w:szCs w:val="32"/>
            </w:rPr>
          </w:pPr>
          <w:r w:rsidRPr="00592074">
            <w:rPr>
              <w:rFonts w:asciiTheme="minorHAnsi" w:hAnsiTheme="minorHAnsi" w:cs="Arial"/>
              <w:sz w:val="32"/>
              <w:szCs w:val="32"/>
            </w:rPr>
            <w:t>Consent to Share Personal Information</w:t>
          </w:r>
        </w:p>
        <w:p w14:paraId="27EADB68" w14:textId="77777777" w:rsidR="00592074" w:rsidRPr="00D03BE2" w:rsidRDefault="00592074" w:rsidP="00AF404E">
          <w:pPr>
            <w:pStyle w:val="Header"/>
            <w:rPr>
              <w:rFonts w:asciiTheme="minorHAnsi" w:hAnsiTheme="minorHAnsi"/>
            </w:rPr>
          </w:pPr>
          <w:r w:rsidRPr="00592074">
            <w:rPr>
              <w:rFonts w:asciiTheme="minorHAnsi" w:hAnsiTheme="minorHAnsi"/>
              <w:sz w:val="22"/>
            </w:rPr>
            <w:t>Under Part X of the Child, Youth, and Family Services Act, 2017 (CYFSA)</w:t>
          </w:r>
        </w:p>
      </w:tc>
      <w:tc>
        <w:tcPr>
          <w:tcW w:w="4500" w:type="dxa"/>
        </w:tcPr>
        <w:p w14:paraId="77EFF94C" w14:textId="6D82FB73" w:rsidR="00D03BE2" w:rsidRPr="00200DB2" w:rsidRDefault="00F07599" w:rsidP="00075722">
          <w:pPr>
            <w:rPr>
              <w:rFonts w:ascii="Arial" w:hAnsi="Arial" w:cs="Arial"/>
              <w:sz w:val="2"/>
              <w:szCs w:val="32"/>
            </w:rPr>
          </w:pPr>
          <w:r>
            <w:rPr>
              <w:noProof/>
            </w:rPr>
            <w:drawing>
              <wp:inline distT="0" distB="0" distL="0" distR="0" wp14:anchorId="54F551E1" wp14:editId="4E6465A9">
                <wp:extent cx="2566127" cy="719667"/>
                <wp:effectExtent l="0" t="0" r="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217" cy="74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587C8E" w14:textId="77777777" w:rsidR="00D03BE2" w:rsidRPr="00D03BE2" w:rsidRDefault="00D03BE2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9C"/>
    <w:multiLevelType w:val="hybridMultilevel"/>
    <w:tmpl w:val="E7FC7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28BD"/>
    <w:multiLevelType w:val="hybridMultilevel"/>
    <w:tmpl w:val="164C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A01"/>
    <w:multiLevelType w:val="hybridMultilevel"/>
    <w:tmpl w:val="42089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B3A"/>
    <w:multiLevelType w:val="hybridMultilevel"/>
    <w:tmpl w:val="69DECF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B15E97"/>
    <w:multiLevelType w:val="hybridMultilevel"/>
    <w:tmpl w:val="2678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D8"/>
    <w:rsid w:val="00014F3D"/>
    <w:rsid w:val="00035537"/>
    <w:rsid w:val="00053504"/>
    <w:rsid w:val="000615F7"/>
    <w:rsid w:val="00073F8F"/>
    <w:rsid w:val="00074954"/>
    <w:rsid w:val="00075722"/>
    <w:rsid w:val="00093815"/>
    <w:rsid w:val="00094A7C"/>
    <w:rsid w:val="00170FD8"/>
    <w:rsid w:val="001747A1"/>
    <w:rsid w:val="001C5FA0"/>
    <w:rsid w:val="001C65A4"/>
    <w:rsid w:val="001E1470"/>
    <w:rsid w:val="00200DB2"/>
    <w:rsid w:val="00217D33"/>
    <w:rsid w:val="002451D9"/>
    <w:rsid w:val="00270738"/>
    <w:rsid w:val="002B5FC7"/>
    <w:rsid w:val="002E38F7"/>
    <w:rsid w:val="002F4F2D"/>
    <w:rsid w:val="003017B4"/>
    <w:rsid w:val="00306E09"/>
    <w:rsid w:val="00377A37"/>
    <w:rsid w:val="00393844"/>
    <w:rsid w:val="003E2A32"/>
    <w:rsid w:val="003E3FCC"/>
    <w:rsid w:val="004431F6"/>
    <w:rsid w:val="00484C1C"/>
    <w:rsid w:val="004B4ABE"/>
    <w:rsid w:val="004D32BE"/>
    <w:rsid w:val="004E17B6"/>
    <w:rsid w:val="004E56D3"/>
    <w:rsid w:val="0052282F"/>
    <w:rsid w:val="005256C2"/>
    <w:rsid w:val="0057302E"/>
    <w:rsid w:val="00582455"/>
    <w:rsid w:val="005914DD"/>
    <w:rsid w:val="00592074"/>
    <w:rsid w:val="005D2C8A"/>
    <w:rsid w:val="005D3B05"/>
    <w:rsid w:val="00666BB0"/>
    <w:rsid w:val="006864C4"/>
    <w:rsid w:val="006B5ADD"/>
    <w:rsid w:val="006B6DB6"/>
    <w:rsid w:val="006C5039"/>
    <w:rsid w:val="006D0D3B"/>
    <w:rsid w:val="006F138D"/>
    <w:rsid w:val="00716236"/>
    <w:rsid w:val="00717EA7"/>
    <w:rsid w:val="00720223"/>
    <w:rsid w:val="0072190B"/>
    <w:rsid w:val="00725895"/>
    <w:rsid w:val="00773D96"/>
    <w:rsid w:val="00775E8D"/>
    <w:rsid w:val="00790092"/>
    <w:rsid w:val="00791831"/>
    <w:rsid w:val="00794745"/>
    <w:rsid w:val="007C0504"/>
    <w:rsid w:val="007D35D1"/>
    <w:rsid w:val="007F3B5B"/>
    <w:rsid w:val="008171E5"/>
    <w:rsid w:val="008217B5"/>
    <w:rsid w:val="00875178"/>
    <w:rsid w:val="0089235A"/>
    <w:rsid w:val="008C2B40"/>
    <w:rsid w:val="008F6876"/>
    <w:rsid w:val="009465E3"/>
    <w:rsid w:val="00952B49"/>
    <w:rsid w:val="00963A91"/>
    <w:rsid w:val="009B611D"/>
    <w:rsid w:val="009C15BB"/>
    <w:rsid w:val="009C4B5A"/>
    <w:rsid w:val="009E7B0D"/>
    <w:rsid w:val="00A05AC8"/>
    <w:rsid w:val="00A14EAF"/>
    <w:rsid w:val="00A51F0F"/>
    <w:rsid w:val="00A77A1E"/>
    <w:rsid w:val="00AA13DA"/>
    <w:rsid w:val="00AC43AC"/>
    <w:rsid w:val="00AD6A79"/>
    <w:rsid w:val="00AF2FB7"/>
    <w:rsid w:val="00AF404E"/>
    <w:rsid w:val="00B134F5"/>
    <w:rsid w:val="00B1700D"/>
    <w:rsid w:val="00B40208"/>
    <w:rsid w:val="00B53AE2"/>
    <w:rsid w:val="00B64B45"/>
    <w:rsid w:val="00BA10E3"/>
    <w:rsid w:val="00BB2D05"/>
    <w:rsid w:val="00BE418F"/>
    <w:rsid w:val="00C132AB"/>
    <w:rsid w:val="00C537B6"/>
    <w:rsid w:val="00C61012"/>
    <w:rsid w:val="00C67174"/>
    <w:rsid w:val="00C743BA"/>
    <w:rsid w:val="00C871E2"/>
    <w:rsid w:val="00C95F4F"/>
    <w:rsid w:val="00CA405C"/>
    <w:rsid w:val="00CA633F"/>
    <w:rsid w:val="00CE2729"/>
    <w:rsid w:val="00CF082C"/>
    <w:rsid w:val="00D03BE2"/>
    <w:rsid w:val="00D17D91"/>
    <w:rsid w:val="00D518BE"/>
    <w:rsid w:val="00D73A7B"/>
    <w:rsid w:val="00D77154"/>
    <w:rsid w:val="00D9124E"/>
    <w:rsid w:val="00D93062"/>
    <w:rsid w:val="00DA0C0E"/>
    <w:rsid w:val="00DA7453"/>
    <w:rsid w:val="00DC0EF4"/>
    <w:rsid w:val="00DC207C"/>
    <w:rsid w:val="00DC480B"/>
    <w:rsid w:val="00DD0C11"/>
    <w:rsid w:val="00DF0F07"/>
    <w:rsid w:val="00E14EF6"/>
    <w:rsid w:val="00E3219B"/>
    <w:rsid w:val="00E34CEB"/>
    <w:rsid w:val="00EA628E"/>
    <w:rsid w:val="00EB2A13"/>
    <w:rsid w:val="00ED2465"/>
    <w:rsid w:val="00EE0349"/>
    <w:rsid w:val="00EE63C6"/>
    <w:rsid w:val="00EF39BA"/>
    <w:rsid w:val="00F02809"/>
    <w:rsid w:val="00F07599"/>
    <w:rsid w:val="00F170CE"/>
    <w:rsid w:val="00F33A7F"/>
    <w:rsid w:val="00F340D8"/>
    <w:rsid w:val="00F62B7A"/>
    <w:rsid w:val="00F63FBB"/>
    <w:rsid w:val="00F679E4"/>
    <w:rsid w:val="00F77E1B"/>
    <w:rsid w:val="00FC2EF4"/>
    <w:rsid w:val="00FD6453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7C012"/>
  <w15:docId w15:val="{A624BF62-A3BD-4BED-BA37-974BB27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F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844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844"/>
    <w:rPr>
      <w:b/>
      <w:bCs/>
      <w:lang w:val="en-GB"/>
    </w:rPr>
  </w:style>
  <w:style w:type="paragraph" w:customStyle="1" w:styleId="Level1">
    <w:name w:val="Level 1"/>
    <w:basedOn w:val="Normal"/>
    <w:rsid w:val="00393844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character" w:styleId="PageNumber">
    <w:name w:val="page number"/>
    <w:basedOn w:val="DefaultParagraphFont"/>
    <w:rsid w:val="00393844"/>
  </w:style>
  <w:style w:type="paragraph" w:styleId="Header">
    <w:name w:val="header"/>
    <w:basedOn w:val="Normal"/>
    <w:link w:val="HeaderChar"/>
    <w:uiPriority w:val="99"/>
    <w:rsid w:val="0039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44"/>
    <w:rPr>
      <w:sz w:val="24"/>
      <w:szCs w:val="24"/>
    </w:rPr>
  </w:style>
  <w:style w:type="paragraph" w:styleId="BalloonText">
    <w:name w:val="Balloon Text"/>
    <w:basedOn w:val="Normal"/>
    <w:link w:val="BalloonTextChar"/>
    <w:rsid w:val="00D1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592074"/>
    <w:rPr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92074"/>
    <w:rPr>
      <w:b/>
      <w:bCs/>
      <w:sz w:val="22"/>
    </w:rPr>
  </w:style>
  <w:style w:type="paragraph" w:styleId="ListParagraph">
    <w:name w:val="List Paragraph"/>
    <w:aliases w:val="Unordered List Level 1,Bullet list,Dot pt,F5 List Paragraph,List Paragraph Char Char Char,Indicator Text,Numbered Para 1,Bullet 1,Bullet Points,List Paragraph2,MAIN CONTENT,Normal numbered,Liste 1,List Paragraph1,Indented Paragraph"/>
    <w:basedOn w:val="Normal"/>
    <w:link w:val="ListParagraphChar"/>
    <w:uiPriority w:val="34"/>
    <w:qFormat/>
    <w:rsid w:val="00EE63C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Unordered List Level 1 Char,Bullet list Char,Dot pt Char,F5 List Paragraph Char,List Paragraph Char Char Char Char,Indicator Text Char,Numbered Para 1 Char,Bullet 1 Char,Bullet Points Char,List Paragraph2 Char,MAIN CONTENT Char"/>
    <w:link w:val="ListParagraph"/>
    <w:uiPriority w:val="34"/>
    <w:rsid w:val="00EE63C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85A15-EAE8-A744-A3B1-015C6F17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County Childrens Aid Society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Lacasse</dc:creator>
  <cp:lastModifiedBy>Audie Leenaars</cp:lastModifiedBy>
  <cp:revision>2</cp:revision>
  <dcterms:created xsi:type="dcterms:W3CDTF">2022-07-13T17:22:00Z</dcterms:created>
  <dcterms:modified xsi:type="dcterms:W3CDTF">2022-07-13T17:22:00Z</dcterms:modified>
</cp:coreProperties>
</file>